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74" w:rsidRPr="00CC3869" w:rsidRDefault="0069183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alibri" w:eastAsia="Calibri" w:hAnsi="Calibri" w:cs="Calibri"/>
          <w:b/>
          <w:color w:val="E8C11C"/>
          <w:sz w:val="32"/>
          <w:szCs w:val="32"/>
          <w:lang w:val="fr-FR"/>
        </w:rPr>
      </w:pPr>
      <w:r w:rsidRPr="00CC3869">
        <w:rPr>
          <w:rFonts w:ascii="Calibri" w:eastAsia="Calibri" w:hAnsi="Calibri" w:cs="Calibri"/>
          <w:b/>
          <w:color w:val="E8C11C"/>
          <w:sz w:val="32"/>
          <w:szCs w:val="32"/>
          <w:lang w:val="fr-FR"/>
        </w:rPr>
        <w:t>Nos salles de formation</w:t>
      </w:r>
    </w:p>
    <w:p w:rsidR="004B5274" w:rsidRPr="00CC3869" w:rsidRDefault="0069183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Les formations se déroulent à La Rochelle. Elles sont également  délocalisées en région </w:t>
      </w:r>
      <w:r w:rsid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>Haut de France et en région P</w:t>
      </w: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arisienne. D’autres lieux peuvent occasionnellement accueillir les stages en fonction de demandes locales.  </w:t>
      </w:r>
    </w:p>
    <w:p w:rsidR="004B5274" w:rsidRPr="00CC3869" w:rsidRDefault="0069183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Les salles de formations sont louées à des organismes privés ou publics. Elles disposent de vestiaires, de coin repas et sont très généralement accessibles aux personnes à mobilité réduite. </w:t>
      </w:r>
    </w:p>
    <w:p w:rsidR="004B5274" w:rsidRPr="00CC3869" w:rsidRDefault="0069183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>Toutes les salles utilisées sont suffisamment spacieuses et lumin</w:t>
      </w: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>euses pour pouvoir accueillir les stagiaires dans de bonnes conditions.</w:t>
      </w:r>
    </w:p>
    <w:p w:rsidR="004B5274" w:rsidRPr="00CC3869" w:rsidRDefault="0069183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Cambria" w:eastAsia="Cambria" w:hAnsi="Cambria" w:cs="Cambria"/>
          <w:color w:val="012C3D"/>
          <w:sz w:val="26"/>
          <w:szCs w:val="26"/>
          <w:u w:val="single"/>
          <w:lang w:val="fr-FR"/>
        </w:rPr>
      </w:pPr>
      <w:r w:rsidRPr="00CC3869">
        <w:rPr>
          <w:rFonts w:ascii="Cambria" w:eastAsia="Cambria" w:hAnsi="Cambria" w:cs="Cambria"/>
          <w:color w:val="012C3D"/>
          <w:sz w:val="26"/>
          <w:szCs w:val="26"/>
          <w:u w:val="single"/>
          <w:lang w:val="fr-FR"/>
        </w:rPr>
        <w:t>Description</w:t>
      </w:r>
    </w:p>
    <w:p w:rsidR="004B5274" w:rsidRPr="00CC3869" w:rsidRDefault="004B527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sz w:val="2"/>
          <w:szCs w:val="2"/>
          <w:lang w:val="fr-FR"/>
        </w:rPr>
      </w:pPr>
    </w:p>
    <w:p w:rsidR="004B5274" w:rsidRPr="00CC3869" w:rsidRDefault="0069183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sz w:val="22"/>
          <w:szCs w:val="22"/>
          <w:lang w:val="fr-FR"/>
        </w:rPr>
      </w:pPr>
      <w:r w:rsidRPr="00CC3869">
        <w:rPr>
          <w:rFonts w:ascii="Calibri" w:eastAsia="Calibri" w:hAnsi="Calibri" w:cs="Calibri"/>
          <w:sz w:val="22"/>
          <w:szCs w:val="22"/>
          <w:lang w:val="fr-FR"/>
        </w:rPr>
        <w:t xml:space="preserve">1/ </w:t>
      </w: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La salle </w:t>
      </w:r>
      <w:r w:rsidRPr="00CC3869">
        <w:rPr>
          <w:rFonts w:ascii="Calibri" w:eastAsia="Calibri" w:hAnsi="Calibri" w:cs="Calibri"/>
          <w:sz w:val="22"/>
          <w:szCs w:val="22"/>
          <w:lang w:val="fr-FR"/>
        </w:rPr>
        <w:t>“AMOS BARBOT”, rue du collège à La Rochelle - centre ville, mise à disposition par la mairie, correspond parfaitement aux besoins et au cahier des charges de T</w:t>
      </w:r>
      <w:r w:rsidRPr="00CC3869">
        <w:rPr>
          <w:rFonts w:ascii="Calibri" w:eastAsia="Calibri" w:hAnsi="Calibri" w:cs="Calibri"/>
          <w:sz w:val="22"/>
          <w:szCs w:val="22"/>
          <w:lang w:val="fr-FR"/>
        </w:rPr>
        <w:t xml:space="preserve">rager France pour ses formations. Totalement restaurée, environ 100 m2, bien ventilée et climatisée, bien équipée en sanitaires. </w:t>
      </w:r>
    </w:p>
    <w:p w:rsidR="004B5274" w:rsidRDefault="0069183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 w:rsidRPr="00CC3869">
        <w:rPr>
          <w:rFonts w:ascii="Calibri" w:eastAsia="Calibri" w:hAnsi="Calibri" w:cs="Calibri"/>
          <w:sz w:val="22"/>
          <w:szCs w:val="22"/>
          <w:lang w:val="fr-FR"/>
        </w:rPr>
        <w:t>2/ La</w:t>
      </w: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 Résidence Club La Fayette de La Rochelle propose la location de salles de séminaires et formations pouvant accueillir de 10 à 50 personnes. </w:t>
      </w: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Ce lieu, situé au bord de l’eau, dispose d’un parking privé et est facilement accessible depuis le Centre Ville à </w:t>
      </w: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>pieds, en vélo ou en transport en commun.</w:t>
      </w:r>
    </w:p>
    <w:p w:rsidR="00CC3869" w:rsidRDefault="00CC386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/>
          <w:sz w:val="22"/>
          <w:szCs w:val="22"/>
          <w:lang w:val="fr-FR"/>
        </w:rPr>
        <w:t>3/ Le centre CPCV à Saint Prix (95) en Ile de France est un centre pédagogique de formation qui met à disposition sa logistique et également un lieu résidentiel offrant hébergement et restauration.</w:t>
      </w:r>
    </w:p>
    <w:p w:rsidR="00CC3869" w:rsidRPr="000541E3" w:rsidRDefault="00CC386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/>
          <w:sz w:val="22"/>
          <w:szCs w:val="22"/>
          <w:lang w:val="fr-FR"/>
        </w:rPr>
        <w:t>4/</w:t>
      </w:r>
      <w:r w:rsidR="000541E3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 Dans les Hauts de France, le gîte « </w:t>
      </w:r>
      <w:r w:rsidR="000541E3" w:rsidRPr="000541E3">
        <w:rPr>
          <w:rFonts w:ascii="Calibri" w:hAnsi="Calibri" w:cs="Calibri"/>
          <w:sz w:val="22"/>
          <w:szCs w:val="22"/>
          <w:lang w:val="fr-FR"/>
        </w:rPr>
        <w:t>Le Domaine des Célestins</w:t>
      </w:r>
      <w:r w:rsidR="000541E3">
        <w:rPr>
          <w:rFonts w:ascii="Calibri" w:hAnsi="Calibri" w:cs="Calibri"/>
          <w:sz w:val="22"/>
          <w:szCs w:val="22"/>
          <w:lang w:val="fr-FR"/>
        </w:rPr>
        <w:t> » 121 rue de Bellevue à</w:t>
      </w:r>
      <w:r w:rsidR="000541E3" w:rsidRPr="000541E3">
        <w:rPr>
          <w:rFonts w:ascii="Calibri" w:hAnsi="Calibri" w:cs="Calibri"/>
          <w:sz w:val="22"/>
          <w:szCs w:val="22"/>
          <w:lang w:val="fr-FR"/>
        </w:rPr>
        <w:t xml:space="preserve"> Bernay-en-Ponthieu</w:t>
      </w:r>
      <w:r w:rsidR="000541E3">
        <w:rPr>
          <w:rFonts w:ascii="Calibri" w:hAnsi="Calibri" w:cs="Calibri"/>
          <w:sz w:val="22"/>
          <w:szCs w:val="22"/>
          <w:lang w:val="fr-FR"/>
        </w:rPr>
        <w:t xml:space="preserve"> (80) offre à la location des salles de cours, hébergement et repas traiteur à la demande.</w:t>
      </w:r>
    </w:p>
    <w:p w:rsidR="004B5274" w:rsidRPr="00CC3869" w:rsidRDefault="0069183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Cambria" w:eastAsia="Cambria" w:hAnsi="Cambria" w:cs="Cambria"/>
          <w:color w:val="012C3D"/>
          <w:sz w:val="26"/>
          <w:szCs w:val="26"/>
          <w:u w:val="single"/>
          <w:lang w:val="fr-FR"/>
        </w:rPr>
      </w:pPr>
      <w:r w:rsidRPr="00CC3869">
        <w:rPr>
          <w:rFonts w:ascii="Cambria" w:eastAsia="Cambria" w:hAnsi="Cambria" w:cs="Cambria"/>
          <w:color w:val="012C3D"/>
          <w:sz w:val="26"/>
          <w:szCs w:val="26"/>
          <w:u w:val="single"/>
          <w:lang w:val="fr-FR"/>
        </w:rPr>
        <w:t>Accessibilité et réglementation</w:t>
      </w:r>
    </w:p>
    <w:p w:rsidR="004B5274" w:rsidRPr="00CC3869" w:rsidRDefault="004B527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4"/>
          <w:szCs w:val="4"/>
          <w:lang w:val="fr-FR"/>
        </w:rPr>
      </w:pPr>
    </w:p>
    <w:p w:rsidR="004B5274" w:rsidRPr="00CC3869" w:rsidRDefault="0069183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sz w:val="22"/>
          <w:szCs w:val="22"/>
          <w:lang w:val="fr-FR"/>
        </w:rPr>
      </w:pP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La salle Amos Barbot est </w:t>
      </w:r>
      <w:r w:rsidRPr="00CC3869">
        <w:rPr>
          <w:rFonts w:ascii="Calibri" w:eastAsia="Calibri" w:hAnsi="Calibri" w:cs="Calibri"/>
          <w:sz w:val="22"/>
          <w:szCs w:val="22"/>
          <w:lang w:val="fr-FR"/>
        </w:rPr>
        <w:t>accessible aux personnes à mobilité réduite.</w:t>
      </w:r>
    </w:p>
    <w:p w:rsidR="004B5274" w:rsidRDefault="0069183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 w:rsidRPr="00CC3869">
        <w:rPr>
          <w:rFonts w:ascii="Calibri" w:eastAsia="Calibri" w:hAnsi="Calibri" w:cs="Calibri"/>
          <w:sz w:val="22"/>
          <w:szCs w:val="22"/>
          <w:lang w:val="fr-FR"/>
        </w:rPr>
        <w:t>La</w:t>
      </w: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 Résidence Club La Fayette est une résidence qui comprend à la fois une hôtellerie, un service de restauration et la location de salles. Elle est donc considérée comme ERP et dispose de l’attestation correspondante.</w:t>
      </w:r>
    </w:p>
    <w:p w:rsidR="000541E3" w:rsidRPr="00CC3869" w:rsidRDefault="000541E3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/>
          <w:sz w:val="22"/>
          <w:szCs w:val="22"/>
          <w:lang w:val="fr-FR"/>
        </w:rPr>
        <w:t>Le CPCV et le Domaine des Célestins sont également des établissement ERP avec accueil handicapé possible.</w:t>
      </w:r>
    </w:p>
    <w:p w:rsidR="004B5274" w:rsidRPr="00CC3869" w:rsidRDefault="0069183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L’attestation ERP est disponible auprès </w:t>
      </w: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>de</w:t>
      </w:r>
      <w:r w:rsidR="000541E3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 la direction</w:t>
      </w: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 des lieux d’accueil des stages.</w:t>
      </w:r>
    </w:p>
    <w:p w:rsidR="004B5274" w:rsidRPr="00CC3869" w:rsidRDefault="0069183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Cambria" w:eastAsia="Cambria" w:hAnsi="Cambria" w:cs="Cambria"/>
          <w:color w:val="012C3D"/>
          <w:sz w:val="26"/>
          <w:szCs w:val="26"/>
          <w:u w:val="single"/>
          <w:lang w:val="fr-FR"/>
        </w:rPr>
      </w:pPr>
      <w:r w:rsidRPr="00CC3869">
        <w:rPr>
          <w:rFonts w:ascii="Cambria" w:eastAsia="Cambria" w:hAnsi="Cambria" w:cs="Cambria"/>
          <w:color w:val="012C3D"/>
          <w:sz w:val="26"/>
          <w:szCs w:val="26"/>
          <w:u w:val="single"/>
          <w:lang w:val="fr-FR"/>
        </w:rPr>
        <w:t>Restauration</w:t>
      </w:r>
    </w:p>
    <w:p w:rsidR="004B5274" w:rsidRPr="00CC3869" w:rsidRDefault="0069183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sz w:val="22"/>
          <w:szCs w:val="22"/>
          <w:lang w:val="fr-FR"/>
        </w:rPr>
      </w:pP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>La Salle Amos Barbot est proche de tou</w:t>
      </w:r>
      <w:r w:rsidRPr="00CC3869">
        <w:rPr>
          <w:rFonts w:ascii="Calibri" w:eastAsia="Calibri" w:hAnsi="Calibri" w:cs="Calibri"/>
          <w:sz w:val="22"/>
          <w:szCs w:val="22"/>
          <w:lang w:val="fr-FR"/>
        </w:rPr>
        <w:t xml:space="preserve">s les types de restauration que peut offrir un centre ville. </w:t>
      </w:r>
    </w:p>
    <w:p w:rsidR="004B5274" w:rsidRDefault="0069183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 w:rsidRPr="00CC3869">
        <w:rPr>
          <w:rFonts w:ascii="Calibri" w:eastAsia="Calibri" w:hAnsi="Calibri" w:cs="Calibri"/>
          <w:sz w:val="22"/>
          <w:szCs w:val="22"/>
          <w:lang w:val="fr-FR"/>
        </w:rPr>
        <w:t>La</w:t>
      </w: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 Résidence Club La Fayette propose différentes formules qui incluent un se</w:t>
      </w: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>rvice de restauration et de bar dans leurs locaux.</w:t>
      </w:r>
      <w:r w:rsidR="000541E3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 </w:t>
      </w: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Par ailleurs, l’emplacement en bord de mer permet de faire des pauses au grand air. </w:t>
      </w:r>
    </w:p>
    <w:p w:rsidR="000541E3" w:rsidRDefault="000541E3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</w:p>
    <w:p w:rsidR="000541E3" w:rsidRDefault="000541E3" w:rsidP="000541E3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</w:p>
    <w:p w:rsidR="004B5274" w:rsidRPr="000541E3" w:rsidRDefault="000541E3" w:rsidP="000541E3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>
        <w:rPr>
          <w:rFonts w:ascii="Calibri" w:eastAsia="Calibri" w:hAnsi="Calibri" w:cs="Calibri"/>
          <w:color w:val="000000"/>
          <w:sz w:val="22"/>
          <w:szCs w:val="22"/>
          <w:lang w:val="fr-FR"/>
        </w:rPr>
        <w:t>Le CPCV et le domaine des Célestins assure la restauration réservation préalable</w:t>
      </w:r>
    </w:p>
    <w:p w:rsidR="004B5274" w:rsidRPr="00CC3869" w:rsidRDefault="0069183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Cambria" w:eastAsia="Cambria" w:hAnsi="Cambria" w:cs="Cambria"/>
          <w:color w:val="012C3D"/>
          <w:sz w:val="26"/>
          <w:szCs w:val="26"/>
          <w:u w:val="single"/>
          <w:lang w:val="fr-FR"/>
        </w:rPr>
      </w:pPr>
      <w:r w:rsidRPr="00CC3869">
        <w:rPr>
          <w:rFonts w:ascii="Cambria" w:eastAsia="Cambria" w:hAnsi="Cambria" w:cs="Cambria"/>
          <w:color w:val="012C3D"/>
          <w:sz w:val="26"/>
          <w:szCs w:val="26"/>
          <w:u w:val="single"/>
          <w:lang w:val="fr-FR"/>
        </w:rPr>
        <w:t>Plan d’accès</w:t>
      </w:r>
    </w:p>
    <w:p w:rsidR="004B5274" w:rsidRPr="00CC3869" w:rsidRDefault="0069183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 w:rsidRPr="00CC3869">
        <w:rPr>
          <w:rFonts w:ascii="Calibri" w:eastAsia="Calibri" w:hAnsi="Calibri" w:cs="Calibri"/>
          <w:sz w:val="22"/>
          <w:szCs w:val="22"/>
          <w:lang w:val="fr-FR"/>
        </w:rPr>
        <w:t>U</w:t>
      </w: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n plan d’accès et les éventuels dispositifs de transports en commun sont </w:t>
      </w:r>
      <w:r w:rsidRPr="00CC3869">
        <w:rPr>
          <w:rFonts w:ascii="Calibri" w:eastAsia="Calibri" w:hAnsi="Calibri" w:cs="Calibri"/>
          <w:sz w:val="22"/>
          <w:szCs w:val="22"/>
          <w:lang w:val="fr-FR"/>
        </w:rPr>
        <w:t>fournis à la demande des stagia</w:t>
      </w:r>
      <w:r w:rsidRPr="00CC3869">
        <w:rPr>
          <w:rFonts w:ascii="Calibri" w:eastAsia="Calibri" w:hAnsi="Calibri" w:cs="Calibri"/>
          <w:sz w:val="22"/>
          <w:szCs w:val="22"/>
          <w:lang w:val="fr-FR"/>
        </w:rPr>
        <w:t>ires.</w:t>
      </w:r>
    </w:p>
    <w:p w:rsidR="004B5274" w:rsidRPr="00CC3869" w:rsidRDefault="0069183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alibri" w:eastAsia="Calibri" w:hAnsi="Calibri" w:cs="Calibri"/>
          <w:b/>
          <w:color w:val="E8C11C"/>
          <w:sz w:val="32"/>
          <w:szCs w:val="32"/>
          <w:lang w:val="fr-FR"/>
        </w:rPr>
      </w:pPr>
      <w:r w:rsidRPr="00CC3869">
        <w:rPr>
          <w:rFonts w:ascii="Calibri" w:eastAsia="Calibri" w:hAnsi="Calibri" w:cs="Calibri"/>
          <w:b/>
          <w:color w:val="E8C11C"/>
          <w:sz w:val="32"/>
          <w:szCs w:val="32"/>
          <w:lang w:val="fr-FR"/>
        </w:rPr>
        <w:t>Le matériel mis à disposition</w:t>
      </w:r>
    </w:p>
    <w:p w:rsidR="004B5274" w:rsidRPr="00CC3869" w:rsidRDefault="0069183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>Nous mettons à disposition des stagiaires, hormis des chaises pour les temps de paroles et d’échanges, des tables de massages et accessoires pour le travail pratique, un rétro-projecteur pour le visionnage d’images et vidéos, ainsi qu’un paper board pour l</w:t>
      </w: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>es besoins des sujets exposés.</w:t>
      </w:r>
    </w:p>
    <w:p w:rsidR="004B5274" w:rsidRPr="00CC3869" w:rsidRDefault="0069183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  <w:r w:rsidRPr="00CC3869">
        <w:rPr>
          <w:rFonts w:ascii="Calibri" w:eastAsia="Calibri" w:hAnsi="Calibri" w:cs="Calibri"/>
          <w:color w:val="000000"/>
          <w:sz w:val="22"/>
          <w:szCs w:val="22"/>
          <w:lang w:val="fr-FR"/>
        </w:rPr>
        <w:t xml:space="preserve">Nous mettons également à disposition les références documentaires (livres et articles) qui viennent en appui aux séminaires. </w:t>
      </w:r>
    </w:p>
    <w:sectPr w:rsidR="004B5274" w:rsidRPr="00CC3869" w:rsidSect="004B5274">
      <w:headerReference w:type="default" r:id="rId7"/>
      <w:footerReference w:type="default" r:id="rId8"/>
      <w:pgSz w:w="11900" w:h="16840"/>
      <w:pgMar w:top="2410" w:right="1080" w:bottom="1440" w:left="1080" w:header="568" w:footer="55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834" w:rsidRDefault="00691834" w:rsidP="004B5274">
      <w:r>
        <w:separator/>
      </w:r>
    </w:p>
  </w:endnote>
  <w:endnote w:type="continuationSeparator" w:id="1">
    <w:p w:rsidR="00691834" w:rsidRDefault="00691834" w:rsidP="004B5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 Narro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74" w:rsidRPr="00CC3869" w:rsidRDefault="006918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20"/>
      </w:tabs>
      <w:rPr>
        <w:rFonts w:ascii="Calibri" w:eastAsia="Calibri" w:hAnsi="Calibri" w:cs="Calibri"/>
        <w:b/>
        <w:sz w:val="20"/>
        <w:szCs w:val="20"/>
        <w:lang w:val="fr-FR"/>
      </w:rPr>
    </w:pPr>
    <w:r w:rsidRPr="00CC3869">
      <w:rPr>
        <w:rFonts w:ascii="Calibri" w:eastAsia="Calibri" w:hAnsi="Calibri" w:cs="Calibri"/>
        <w:b/>
        <w:sz w:val="20"/>
        <w:szCs w:val="20"/>
        <w:lang w:val="fr-FR"/>
      </w:rPr>
      <w:t>MOUVEMENT TRAGER France 16 rue de la paix 17230 VILLEDOUX</w:t>
    </w:r>
  </w:p>
  <w:p w:rsidR="004B5274" w:rsidRPr="00CC3869" w:rsidRDefault="00691834">
    <w:pPr>
      <w:tabs>
        <w:tab w:val="center" w:pos="4536"/>
        <w:tab w:val="right" w:pos="9072"/>
      </w:tabs>
      <w:rPr>
        <w:rFonts w:ascii="Calibri" w:eastAsia="Calibri" w:hAnsi="Calibri" w:cs="Calibri"/>
        <w:sz w:val="16"/>
        <w:szCs w:val="16"/>
        <w:lang w:val="fr-FR"/>
      </w:rPr>
    </w:pPr>
    <w:r w:rsidRPr="00CC3869">
      <w:rPr>
        <w:rFonts w:ascii="Calibri" w:eastAsia="Calibri" w:hAnsi="Calibri" w:cs="Calibri"/>
        <w:sz w:val="16"/>
        <w:szCs w:val="16"/>
        <w:lang w:val="fr-FR"/>
      </w:rPr>
      <w:t>SIRET n° 429 171 374 00029- APE  8690F - Association Loi 1901 W173000135</w:t>
    </w:r>
  </w:p>
  <w:p w:rsidR="004B5274" w:rsidRPr="00CC3869" w:rsidRDefault="00691834">
    <w:pPr>
      <w:tabs>
        <w:tab w:val="center" w:pos="4536"/>
        <w:tab w:val="right" w:pos="9072"/>
      </w:tabs>
      <w:rPr>
        <w:rFonts w:ascii="Calibri" w:eastAsia="Calibri" w:hAnsi="Calibri" w:cs="Calibri"/>
        <w:sz w:val="20"/>
        <w:szCs w:val="20"/>
        <w:lang w:val="fr-FR"/>
      </w:rPr>
    </w:pPr>
    <w:r w:rsidRPr="00CC3869">
      <w:rPr>
        <w:rFonts w:ascii="Calibri" w:eastAsia="Calibri" w:hAnsi="Calibri" w:cs="Calibri"/>
        <w:sz w:val="16"/>
        <w:szCs w:val="16"/>
        <w:lang w:val="fr-FR"/>
      </w:rPr>
      <w:t xml:space="preserve">Déclaration d’activité de formation enregistrée sous le n°75170218217 du préfet de région Nouvelle Aquitaine       </w:t>
    </w:r>
    <w:r w:rsidR="00A603D5">
      <w:rPr>
        <w:rFonts w:ascii="Calibri" w:eastAsia="Calibri" w:hAnsi="Calibri" w:cs="Calibri"/>
        <w:sz w:val="20"/>
        <w:szCs w:val="20"/>
        <w:lang w:val="fr-FR"/>
      </w:rPr>
      <w:tab/>
      <w:t>Crit 7</w:t>
    </w:r>
    <w:r w:rsidRPr="00CC3869">
      <w:rPr>
        <w:rFonts w:ascii="Calibri" w:eastAsia="Calibri" w:hAnsi="Calibri" w:cs="Calibri"/>
        <w:sz w:val="20"/>
        <w:szCs w:val="20"/>
        <w:lang w:val="fr-FR"/>
      </w:rPr>
      <w:t>……</w:t>
    </w:r>
    <w:r w:rsidR="00A603D5">
      <w:rPr>
        <w:rFonts w:ascii="Calibri" w:eastAsia="Calibri" w:hAnsi="Calibri" w:cs="Calibri"/>
        <w:sz w:val="20"/>
        <w:szCs w:val="20"/>
        <w:lang w:val="fr-FR"/>
      </w:rPr>
      <w:t xml:space="preserve"> màj avril 2024 </w:t>
    </w:r>
  </w:p>
  <w:p w:rsidR="004B5274" w:rsidRDefault="006918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20"/>
      </w:tabs>
      <w:rPr>
        <w:rFonts w:ascii="Calibri" w:eastAsia="Calibri" w:hAnsi="Calibri" w:cs="Calibri"/>
        <w:color w:val="000000"/>
        <w:sz w:val="22"/>
        <w:szCs w:val="22"/>
      </w:rPr>
    </w:pPr>
    <w:r w:rsidRPr="00CC3869">
      <w:rPr>
        <w:rFonts w:ascii="Calibri" w:eastAsia="Calibri" w:hAnsi="Calibri" w:cs="Calibri"/>
        <w:sz w:val="20"/>
        <w:szCs w:val="20"/>
        <w:lang w:val="fr-FR"/>
      </w:rPr>
      <w:tab/>
    </w:r>
    <w:r>
      <w:rPr>
        <w:rFonts w:ascii="Calibri" w:eastAsia="Calibri" w:hAnsi="Calibri" w:cs="Calibri"/>
        <w:sz w:val="20"/>
        <w:szCs w:val="20"/>
      </w:rPr>
      <w:t>page 1sur1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834" w:rsidRDefault="00691834" w:rsidP="004B5274">
      <w:r>
        <w:separator/>
      </w:r>
    </w:p>
  </w:footnote>
  <w:footnote w:type="continuationSeparator" w:id="1">
    <w:p w:rsidR="00691834" w:rsidRDefault="00691834" w:rsidP="004B5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74" w:rsidRDefault="00691834">
    <w:pPr>
      <w:pBdr>
        <w:top w:val="nil"/>
        <w:left w:val="nil"/>
        <w:bottom w:val="nil"/>
        <w:right w:val="nil"/>
        <w:between w:val="nil"/>
      </w:pBdr>
      <w:spacing w:line="326" w:lineRule="auto"/>
      <w:ind w:left="1985"/>
      <w:rPr>
        <w:rFonts w:ascii="Cambria" w:eastAsia="Cambria" w:hAnsi="Cambria" w:cs="Cambria"/>
        <w:b/>
        <w:color w:val="0070C0"/>
        <w:sz w:val="52"/>
        <w:szCs w:val="52"/>
      </w:rPr>
    </w:pPr>
    <w:r>
      <w:rPr>
        <w:rFonts w:ascii="Cambria" w:eastAsia="Cambria" w:hAnsi="Cambria" w:cs="Cambria"/>
        <w:b/>
        <w:color w:val="0070C0"/>
        <w:sz w:val="52"/>
        <w:szCs w:val="52"/>
      </w:rPr>
      <w:tab/>
    </w:r>
    <w:r>
      <w:rPr>
        <w:rFonts w:ascii="Cambria" w:eastAsia="Cambria" w:hAnsi="Cambria" w:cs="Cambria"/>
        <w:b/>
        <w:color w:val="0070C0"/>
        <w:sz w:val="52"/>
        <w:szCs w:val="52"/>
      </w:rPr>
      <w:tab/>
    </w:r>
    <w:r>
      <w:rPr>
        <w:rFonts w:ascii="Cambria" w:eastAsia="Cambria" w:hAnsi="Cambria" w:cs="Cambria"/>
        <w:b/>
        <w:color w:val="0070C0"/>
        <w:sz w:val="52"/>
        <w:szCs w:val="52"/>
      </w:rPr>
      <w:tab/>
    </w:r>
    <w:r>
      <w:rPr>
        <w:rFonts w:ascii="Cambria" w:eastAsia="Cambria" w:hAnsi="Cambria" w:cs="Cambria"/>
        <w:b/>
        <w:color w:val="0070C0"/>
        <w:sz w:val="52"/>
        <w:szCs w:val="52"/>
      </w:rPr>
      <w:tab/>
    </w:r>
    <w:r>
      <w:rPr>
        <w:rFonts w:ascii="Cambria" w:eastAsia="Cambria" w:hAnsi="Cambria" w:cs="Cambria"/>
        <w:b/>
        <w:color w:val="0070C0"/>
        <w:sz w:val="52"/>
        <w:szCs w:val="52"/>
      </w:rPr>
      <w:tab/>
    </w:r>
    <w:r>
      <w:rPr>
        <w:rFonts w:ascii="Cambria" w:eastAsia="Cambria" w:hAnsi="Cambria" w:cs="Cambria"/>
        <w:b/>
        <w:color w:val="0070C0"/>
        <w:sz w:val="52"/>
        <w:szCs w:val="52"/>
      </w:rPr>
      <w:tab/>
    </w:r>
    <w:r>
      <w:rPr>
        <w:rFonts w:ascii="Cambria" w:eastAsia="Cambria" w:hAnsi="Cambria" w:cs="Cambria"/>
        <w:b/>
        <w:color w:val="0070C0"/>
        <w:sz w:val="52"/>
        <w:szCs w:val="52"/>
      </w:rPr>
      <w:tab/>
    </w:r>
    <w:r>
      <w:rPr>
        <w:rFonts w:ascii="Cambria" w:eastAsia="Cambria" w:hAnsi="Cambria" w:cs="Cambria"/>
        <w:b/>
        <w:color w:val="0070C0"/>
        <w:sz w:val="52"/>
        <w:szCs w:val="52"/>
      </w:rPr>
      <w:tab/>
    </w:r>
  </w:p>
  <w:p w:rsidR="004B5274" w:rsidRPr="00CC3869" w:rsidRDefault="00691834">
    <w:pPr>
      <w:pBdr>
        <w:top w:val="nil"/>
        <w:left w:val="nil"/>
        <w:bottom w:val="nil"/>
        <w:right w:val="nil"/>
        <w:between w:val="nil"/>
      </w:pBdr>
      <w:spacing w:line="326" w:lineRule="auto"/>
      <w:rPr>
        <w:rFonts w:ascii="Cambria" w:eastAsia="Cambria" w:hAnsi="Cambria" w:cs="Cambria"/>
        <w:b/>
        <w:color w:val="0070C0"/>
        <w:sz w:val="52"/>
        <w:szCs w:val="52"/>
        <w:lang w:val="fr-FR"/>
      </w:rPr>
    </w:pPr>
    <w:r>
      <w:rPr>
        <w:rFonts w:ascii="Cambria" w:eastAsia="Cambria" w:hAnsi="Cambria" w:cs="Cambria"/>
        <w:b/>
        <w:noProof/>
        <w:color w:val="0070C0"/>
        <w:sz w:val="52"/>
        <w:szCs w:val="52"/>
        <w:lang w:val="fr-FR" w:eastAsia="fr-FR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161925</wp:posOffset>
          </wp:positionH>
          <wp:positionV relativeFrom="page">
            <wp:posOffset>165100</wp:posOffset>
          </wp:positionV>
          <wp:extent cx="455342" cy="813112"/>
          <wp:effectExtent l="0" t="0" r="0" b="0"/>
          <wp:wrapSquare wrapText="bothSides" distT="0" distB="0" distL="0" distR="0"/>
          <wp:docPr id="10737418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5342" cy="813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C3869">
      <w:rPr>
        <w:rFonts w:ascii="Arial" w:eastAsia="Arial" w:hAnsi="Arial" w:cs="Arial"/>
        <w:b/>
        <w:color w:val="000000"/>
        <w:sz w:val="40"/>
        <w:szCs w:val="40"/>
        <w:lang w:val="fr-FR"/>
      </w:rPr>
      <w:t>Salles de formation et matériel mis à disposition des stagiaires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274"/>
    <w:rsid w:val="000541E3"/>
    <w:rsid w:val="004B5274"/>
    <w:rsid w:val="00691834"/>
    <w:rsid w:val="00A603D5"/>
    <w:rsid w:val="00CC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5274"/>
    <w:rPr>
      <w:lang w:eastAsia="en-US"/>
    </w:rPr>
  </w:style>
  <w:style w:type="paragraph" w:styleId="Titre1">
    <w:name w:val="heading 1"/>
    <w:next w:val="Corps"/>
    <w:rsid w:val="004B5274"/>
    <w:pPr>
      <w:keepNext/>
      <w:keepLines/>
      <w:spacing w:before="120" w:after="120"/>
      <w:outlineLvl w:val="0"/>
    </w:pPr>
    <w:rPr>
      <w:rFonts w:ascii="Calibri" w:hAnsi="Calibri" w:cs="Arial Unicode MS"/>
      <w:b/>
      <w:bCs/>
      <w:color w:val="E8C11C"/>
      <w:sz w:val="32"/>
      <w:szCs w:val="32"/>
      <w:u w:color="E8C11C"/>
    </w:rPr>
  </w:style>
  <w:style w:type="paragraph" w:styleId="Titre2">
    <w:name w:val="heading 2"/>
    <w:next w:val="Corps"/>
    <w:rsid w:val="004B5274"/>
    <w:pPr>
      <w:keepNext/>
      <w:keepLines/>
      <w:spacing w:before="40"/>
      <w:outlineLvl w:val="1"/>
    </w:pPr>
    <w:rPr>
      <w:rFonts w:ascii="Cambria" w:hAnsi="Cambria" w:cs="Arial Unicode MS"/>
      <w:color w:val="012C3D"/>
      <w:sz w:val="26"/>
      <w:szCs w:val="26"/>
      <w:u w:val="single" w:color="012C3D"/>
    </w:rPr>
  </w:style>
  <w:style w:type="paragraph" w:styleId="Titre3">
    <w:name w:val="heading 3"/>
    <w:basedOn w:val="normal0"/>
    <w:next w:val="normal0"/>
    <w:rsid w:val="004B52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4B5274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4B52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4B52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"/>
    <w:rsid w:val="004B5274"/>
  </w:style>
  <w:style w:type="table" w:customStyle="1" w:styleId="TableNormal">
    <w:name w:val="Table Normal"/>
    <w:rsid w:val="004B52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next w:val="Corps"/>
    <w:rsid w:val="004B5274"/>
    <w:pPr>
      <w:pBdr>
        <w:bottom w:val="single" w:sz="8" w:space="0" w:color="023C52"/>
      </w:pBdr>
      <w:spacing w:after="300"/>
    </w:pPr>
    <w:rPr>
      <w:rFonts w:ascii="Cambria" w:hAnsi="Cambria" w:cs="Arial Unicode MS"/>
      <w:b/>
      <w:bCs/>
      <w:color w:val="0070C0"/>
      <w:spacing w:val="5"/>
      <w:kern w:val="28"/>
      <w:sz w:val="52"/>
      <w:szCs w:val="52"/>
      <w:u w:color="0070C0"/>
    </w:rPr>
  </w:style>
  <w:style w:type="paragraph" w:customStyle="1" w:styleId="normal0">
    <w:name w:val="normal"/>
    <w:rsid w:val="004B5274"/>
  </w:style>
  <w:style w:type="table" w:customStyle="1" w:styleId="TableNormal0">
    <w:name w:val="Table Normal"/>
    <w:rsid w:val="004B527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sid w:val="004B5274"/>
    <w:rPr>
      <w:u w:val="single"/>
    </w:rPr>
  </w:style>
  <w:style w:type="table" w:customStyle="1" w:styleId="TableNormal1">
    <w:name w:val="Table Normal"/>
    <w:rsid w:val="004B52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4B5274"/>
    <w:pPr>
      <w:spacing w:after="24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en">
    <w:name w:val="Lien"/>
    <w:rsid w:val="004B5274"/>
    <w:rPr>
      <w:color w:val="0689A9"/>
      <w:u w:val="single" w:color="0689A9"/>
    </w:rPr>
  </w:style>
  <w:style w:type="character" w:customStyle="1" w:styleId="Hyperlink0">
    <w:name w:val="Hyperlink.0"/>
    <w:basedOn w:val="Lien"/>
    <w:rsid w:val="004B5274"/>
    <w:rPr>
      <w:rFonts w:ascii="PT Sans Narrow" w:eastAsia="PT Sans Narrow" w:hAnsi="PT Sans Narrow" w:cs="PT Sans Narrow"/>
      <w:color w:val="0689A9"/>
      <w:u w:val="single" w:color="0689A9"/>
    </w:rPr>
  </w:style>
  <w:style w:type="paragraph" w:styleId="Pieddepage">
    <w:name w:val="footer"/>
    <w:rsid w:val="004B5274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CorpsA">
    <w:name w:val="Corps A"/>
    <w:rsid w:val="004B5274"/>
    <w:pPr>
      <w:spacing w:after="24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ous-titre">
    <w:name w:val="Subtitle"/>
    <w:basedOn w:val="Normal"/>
    <w:next w:val="Normal"/>
    <w:rsid w:val="004B52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semiHidden/>
    <w:unhideWhenUsed/>
    <w:rsid w:val="00A603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603D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23C52"/>
      </a:accent1>
      <a:accent2>
        <a:srgbClr val="E8C11C"/>
      </a:accent2>
      <a:accent3>
        <a:srgbClr val="0689A9"/>
      </a:accent3>
      <a:accent4>
        <a:srgbClr val="424242"/>
      </a:accent4>
      <a:accent5>
        <a:srgbClr val="01222E"/>
      </a:accent5>
      <a:accent6>
        <a:srgbClr val="826C10"/>
      </a:accent6>
      <a:hlink>
        <a:srgbClr val="0000FF"/>
      </a:hlink>
      <a:folHlink>
        <a:srgbClr val="FF00FF"/>
      </a:folHlink>
    </a:clrScheme>
    <a:fontScheme name="Thème Office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4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4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gtpvryQz5BhrYRBirGUOJTfviw==">AMUW2mXLAo9x7x/70VEGbTbUmTEeBaXstfP+QZ0BA+QuTueL16G3sHls5pPAvj0f+gGUN0hwMvj7F2CkYFu1Fqg1Is5ggy9pLHNFwrfHrGs/Zdojacxk9sU=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 louis</cp:lastModifiedBy>
  <cp:revision>3</cp:revision>
  <dcterms:created xsi:type="dcterms:W3CDTF">2021-03-18T17:50:00Z</dcterms:created>
  <dcterms:modified xsi:type="dcterms:W3CDTF">2024-04-16T13:38:00Z</dcterms:modified>
</cp:coreProperties>
</file>